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7BA41" w14:textId="77777777" w:rsidR="00D0267A" w:rsidRDefault="009E0DA7" w:rsidP="00E02AAA">
      <w:pPr>
        <w:jc w:val="center"/>
      </w:pPr>
      <w:r>
        <w:t xml:space="preserve">UNE BELGIQUE </w:t>
      </w:r>
      <w:r w:rsidR="002B7ECD">
        <w:t xml:space="preserve">FÉDÉRALE </w:t>
      </w:r>
      <w:r>
        <w:t>À DEUX</w:t>
      </w:r>
      <w:r w:rsidR="002B765E">
        <w:t xml:space="preserve"> PARTENAIRES </w:t>
      </w:r>
    </w:p>
    <w:p w14:paraId="0D60FCB9" w14:textId="77777777" w:rsidR="002B7ECD" w:rsidRDefault="002B765E" w:rsidP="00E02AAA">
      <w:pPr>
        <w:jc w:val="center"/>
      </w:pPr>
      <w:r>
        <w:t xml:space="preserve">MAIS RESPECTUEUSE DES CHOIX INSTITUTIONNELS </w:t>
      </w:r>
    </w:p>
    <w:p w14:paraId="5CCC0605" w14:textId="77777777" w:rsidR="002B765E" w:rsidRDefault="002B765E" w:rsidP="00E02AAA">
      <w:pPr>
        <w:jc w:val="center"/>
      </w:pPr>
      <w:r>
        <w:t>DE CHAQUE COMMUNAUTÉ</w:t>
      </w:r>
      <w:r w:rsidR="002B7ECD">
        <w:t xml:space="preserve"> ET DE CHAQUE RÉGION</w:t>
      </w:r>
    </w:p>
    <w:p w14:paraId="1A0FCC3B" w14:textId="77777777" w:rsidR="000E12A5" w:rsidRDefault="000E12A5" w:rsidP="00E02AAA">
      <w:pPr>
        <w:jc w:val="center"/>
      </w:pPr>
    </w:p>
    <w:p w14:paraId="6B1AA1D0" w14:textId="77777777" w:rsidR="000E12A5" w:rsidRDefault="000E12A5" w:rsidP="000E12A5">
      <w:pPr>
        <w:ind w:left="3540"/>
        <w:jc w:val="both"/>
      </w:pPr>
      <w:r>
        <w:t xml:space="preserve">« Une Belgique faite de l’union de deux peuples indépendants et libres, accordés précisément à la cause de cette indépendance réciproque, ne serait-elle pas un Etat infiniment plus robuste qu’une Belgique dont la moitié se croirait opprimée par l’autre moitié ? » Jules DESTRÉE, </w:t>
      </w:r>
      <w:r w:rsidRPr="000E12A5">
        <w:rPr>
          <w:i/>
        </w:rPr>
        <w:t>Lettre au Roi</w:t>
      </w:r>
      <w:r>
        <w:t>, 1912</w:t>
      </w:r>
      <w:r w:rsidR="004C4900">
        <w:t>.</w:t>
      </w:r>
      <w:r>
        <w:t> </w:t>
      </w:r>
    </w:p>
    <w:p w14:paraId="77BE931C" w14:textId="77777777" w:rsidR="000E12A5" w:rsidRDefault="000E12A5" w:rsidP="00E02AAA">
      <w:pPr>
        <w:jc w:val="center"/>
      </w:pPr>
    </w:p>
    <w:p w14:paraId="651E7E66" w14:textId="77777777" w:rsidR="009E0DA7" w:rsidRDefault="005F29A5" w:rsidP="00E02AAA">
      <w:pPr>
        <w:jc w:val="both"/>
      </w:pPr>
      <w:r>
        <w:t xml:space="preserve">Esquisse d’une Belgique </w:t>
      </w:r>
      <w:r w:rsidR="00926F05">
        <w:t>ayant approfondi le fédéralisme en appliquant l’art. 35 de la Constitution</w:t>
      </w:r>
      <w:r w:rsidR="00742291">
        <w:rPr>
          <w:rStyle w:val="Appelnotedebasdep"/>
        </w:rPr>
        <w:footnoteReference w:id="1"/>
      </w:r>
      <w:r w:rsidR="00926F05">
        <w:t xml:space="preserve"> sur base d’un modèle : Flandre-Espace Wallonie-Bruxelles .</w:t>
      </w:r>
    </w:p>
    <w:p w14:paraId="5DE3F82D" w14:textId="77777777" w:rsidR="00AE007A" w:rsidRDefault="00AE007A" w:rsidP="00E02AAA">
      <w:pPr>
        <w:jc w:val="both"/>
      </w:pPr>
      <w:r>
        <w:t xml:space="preserve">De toute évidence, ce modèle dépasse de loin la compétence </w:t>
      </w:r>
      <w:r w:rsidR="00EE7327">
        <w:t>des Chambres constituantes élues en mai 2019.</w:t>
      </w:r>
    </w:p>
    <w:p w14:paraId="0DB4D07C" w14:textId="77777777" w:rsidR="00730570" w:rsidRDefault="00730570" w:rsidP="00E02AAA">
      <w:pPr>
        <w:jc w:val="both"/>
      </w:pPr>
      <w:r>
        <w:t>Le schéma proposé présente une série d’avantages :</w:t>
      </w:r>
    </w:p>
    <w:p w14:paraId="6CAEDB5E" w14:textId="77777777" w:rsidR="00730570" w:rsidRDefault="00730570" w:rsidP="00730570">
      <w:pPr>
        <w:pStyle w:val="Paragraphedeliste"/>
        <w:numPr>
          <w:ilvl w:val="0"/>
          <w:numId w:val="4"/>
        </w:numPr>
        <w:spacing w:after="0" w:line="240" w:lineRule="auto"/>
        <w:contextualSpacing w:val="0"/>
      </w:pPr>
      <w:r>
        <w:t>Coupole de principes généraux pour tout le pays, comme la défense des minorités linguistiques ;</w:t>
      </w:r>
    </w:p>
    <w:p w14:paraId="0B229971" w14:textId="77777777" w:rsidR="00730570" w:rsidRDefault="00730570" w:rsidP="00730570">
      <w:pPr>
        <w:pStyle w:val="Paragraphedeliste"/>
        <w:numPr>
          <w:ilvl w:val="0"/>
          <w:numId w:val="4"/>
        </w:numPr>
        <w:spacing w:after="0" w:line="240" w:lineRule="auto"/>
        <w:contextualSpacing w:val="0"/>
      </w:pPr>
      <w:r>
        <w:t>Satisfaction aux revendications germanophones ;</w:t>
      </w:r>
    </w:p>
    <w:p w14:paraId="496533EE" w14:textId="77777777" w:rsidR="00730570" w:rsidRDefault="00730570" w:rsidP="00730570">
      <w:pPr>
        <w:pStyle w:val="Paragraphedeliste"/>
        <w:numPr>
          <w:ilvl w:val="0"/>
          <w:numId w:val="4"/>
        </w:numPr>
        <w:spacing w:after="0" w:line="240" w:lineRule="auto"/>
        <w:contextualSpacing w:val="0"/>
      </w:pPr>
      <w:r>
        <w:t>Entre Francophones, solution du conflit entre thèses communautaristes et régionalistes ;</w:t>
      </w:r>
    </w:p>
    <w:p w14:paraId="4A860DEC" w14:textId="77777777" w:rsidR="00730570" w:rsidRDefault="00730570" w:rsidP="00730570">
      <w:pPr>
        <w:pStyle w:val="Paragraphedeliste"/>
        <w:numPr>
          <w:ilvl w:val="0"/>
          <w:numId w:val="4"/>
        </w:numPr>
        <w:spacing w:after="0" w:line="240" w:lineRule="auto"/>
        <w:contextualSpacing w:val="0"/>
      </w:pPr>
      <w:r>
        <w:t>À Bruxelles simplification de la lasagne ;</w:t>
      </w:r>
    </w:p>
    <w:p w14:paraId="13D0F61F" w14:textId="77777777" w:rsidR="00730570" w:rsidRDefault="00730570" w:rsidP="00730570">
      <w:pPr>
        <w:pStyle w:val="Paragraphedeliste"/>
        <w:numPr>
          <w:ilvl w:val="0"/>
          <w:numId w:val="4"/>
        </w:numPr>
        <w:spacing w:after="0" w:line="240" w:lineRule="auto"/>
        <w:contextualSpacing w:val="0"/>
      </w:pPr>
      <w:r>
        <w:t>Financement de Wallonie-Bruxelles, attribution de l’IPP en fonction du lieu de travail ; comme Wallonie-Bruxelles forme un tout, nos 2 Régions y gagnent ;</w:t>
      </w:r>
    </w:p>
    <w:p w14:paraId="527EBF81" w14:textId="77777777" w:rsidR="00730570" w:rsidRDefault="00730570" w:rsidP="00730570">
      <w:pPr>
        <w:pStyle w:val="Paragraphedeliste"/>
        <w:numPr>
          <w:ilvl w:val="0"/>
          <w:numId w:val="4"/>
        </w:numPr>
        <w:spacing w:after="0" w:line="240" w:lineRule="auto"/>
        <w:contextualSpacing w:val="0"/>
      </w:pPr>
      <w:r>
        <w:t>Mécanisme électoral permettant aux Francophones de Flandre de voter pour des candidats francophones ;</w:t>
      </w:r>
    </w:p>
    <w:p w14:paraId="63859333" w14:textId="77777777" w:rsidR="00730570" w:rsidRDefault="00730570" w:rsidP="00730570">
      <w:pPr>
        <w:pStyle w:val="Paragraphedeliste"/>
        <w:numPr>
          <w:ilvl w:val="0"/>
          <w:numId w:val="4"/>
        </w:numPr>
        <w:spacing w:after="0" w:line="240" w:lineRule="auto"/>
        <w:contextualSpacing w:val="0"/>
      </w:pPr>
      <w:r>
        <w:t>Élargissement de la Région de Bruxelles-capitale ;</w:t>
      </w:r>
    </w:p>
    <w:p w14:paraId="166CF57B" w14:textId="77777777" w:rsidR="00730570" w:rsidRDefault="00730570" w:rsidP="00730570">
      <w:pPr>
        <w:pStyle w:val="Paragraphedeliste"/>
        <w:numPr>
          <w:ilvl w:val="0"/>
          <w:numId w:val="4"/>
        </w:numPr>
        <w:spacing w:after="0" w:line="240" w:lineRule="auto"/>
        <w:contextualSpacing w:val="0"/>
      </w:pPr>
      <w:r>
        <w:t>Souplesse avec introduction d’un mécanisme de glissement des compétences, y compris vers le haut (réponse aux tenants de la « refédéralisation ».</w:t>
      </w:r>
    </w:p>
    <w:p w14:paraId="6D121D03" w14:textId="77777777" w:rsidR="00730570" w:rsidRDefault="00730570" w:rsidP="00E02AAA">
      <w:pPr>
        <w:jc w:val="both"/>
      </w:pPr>
    </w:p>
    <w:p w14:paraId="6AEFF82B" w14:textId="77777777" w:rsidR="008B1D61" w:rsidRDefault="00D457CB" w:rsidP="008235DF">
      <w:pPr>
        <w:pBdr>
          <w:top w:val="single" w:sz="4" w:space="1" w:color="auto"/>
          <w:left w:val="single" w:sz="4" w:space="4" w:color="auto"/>
          <w:bottom w:val="single" w:sz="4" w:space="1" w:color="auto"/>
          <w:right w:val="single" w:sz="4" w:space="4" w:color="auto"/>
        </w:pBdr>
        <w:shd w:val="clear" w:color="auto" w:fill="E7E6E6" w:themeFill="background2"/>
        <w:jc w:val="both"/>
      </w:pPr>
      <w:r>
        <w:rPr>
          <w:highlight w:val="cyan"/>
        </w:rPr>
        <w:t xml:space="preserve">UN </w:t>
      </w:r>
      <w:r w:rsidR="0083151E" w:rsidRPr="008235DF">
        <w:rPr>
          <w:highlight w:val="cyan"/>
        </w:rPr>
        <w:t xml:space="preserve">SOCLE </w:t>
      </w:r>
      <w:r w:rsidR="0083151E" w:rsidRPr="008235DF">
        <w:rPr>
          <w:highlight w:val="cyan"/>
          <w:shd w:val="clear" w:color="auto" w:fill="E7E6E6" w:themeFill="background2"/>
        </w:rPr>
        <w:t>C</w:t>
      </w:r>
      <w:r w:rsidR="0083151E" w:rsidRPr="008235DF">
        <w:rPr>
          <w:highlight w:val="cyan"/>
        </w:rPr>
        <w:t xml:space="preserve">ONSTITUTIONNEL : </w:t>
      </w:r>
      <w:r w:rsidR="008B1D61" w:rsidRPr="008235DF">
        <w:rPr>
          <w:highlight w:val="cyan"/>
        </w:rPr>
        <w:t xml:space="preserve">PRINCIPES TRANSVERSAUX ET ORGANISATION </w:t>
      </w:r>
      <w:r w:rsidR="0083151E" w:rsidRPr="008235DF">
        <w:rPr>
          <w:highlight w:val="cyan"/>
        </w:rPr>
        <w:t>INS</w:t>
      </w:r>
      <w:r w:rsidR="008B1D61" w:rsidRPr="008235DF">
        <w:rPr>
          <w:highlight w:val="cyan"/>
        </w:rPr>
        <w:t>TITUTIONNELLE</w:t>
      </w:r>
      <w:r w:rsidR="008B1D61">
        <w:t xml:space="preserve"> </w:t>
      </w:r>
    </w:p>
    <w:p w14:paraId="13108209" w14:textId="77777777" w:rsidR="008B1D61" w:rsidRDefault="008B1D61" w:rsidP="00E02AAA">
      <w:pPr>
        <w:jc w:val="both"/>
      </w:pPr>
      <w:r>
        <w:t xml:space="preserve">OBJETS : La Constitution énumère une liste de </w:t>
      </w:r>
      <w:r w:rsidR="0059655A">
        <w:t xml:space="preserve">règles et de </w:t>
      </w:r>
      <w:r>
        <w:t>principes d’application générale à tous les niveaux de pouvoir </w:t>
      </w:r>
      <w:r w:rsidR="00C03506">
        <w:sym w:font="Wingdings" w:char="F0E8"/>
      </w:r>
      <w:r w:rsidR="00C03506">
        <w:t xml:space="preserve"> primauté sur toutes les autres normes internes</w:t>
      </w:r>
    </w:p>
    <w:p w14:paraId="7B5942D9" w14:textId="38094F77" w:rsidR="008B1D61" w:rsidRDefault="008B1D61" w:rsidP="008B1D61">
      <w:pPr>
        <w:pStyle w:val="Paragraphedeliste"/>
        <w:numPr>
          <w:ilvl w:val="0"/>
          <w:numId w:val="3"/>
        </w:numPr>
        <w:jc w:val="both"/>
      </w:pPr>
      <w:r>
        <w:t>Droits et libertés</w:t>
      </w:r>
    </w:p>
    <w:p w14:paraId="583A4898" w14:textId="44DF4F31" w:rsidR="00A6500E" w:rsidRDefault="00A6500E" w:rsidP="008B1D61">
      <w:pPr>
        <w:pStyle w:val="Paragraphedeliste"/>
        <w:numPr>
          <w:ilvl w:val="0"/>
          <w:numId w:val="3"/>
        </w:numPr>
        <w:jc w:val="both"/>
      </w:pPr>
      <w:r>
        <w:t>Principes de non-discrimination (remplacer art.131 trop limitatif)</w:t>
      </w:r>
    </w:p>
    <w:p w14:paraId="2A6665C9" w14:textId="77777777" w:rsidR="00614BF3" w:rsidRDefault="008B1D61" w:rsidP="008B1D61">
      <w:pPr>
        <w:pStyle w:val="Paragraphedeliste"/>
        <w:numPr>
          <w:ilvl w:val="0"/>
          <w:numId w:val="3"/>
        </w:numPr>
        <w:jc w:val="both"/>
      </w:pPr>
      <w:r>
        <w:t xml:space="preserve">Principe des compétences </w:t>
      </w:r>
      <w:r w:rsidR="00614BF3">
        <w:t xml:space="preserve">et de leur interprétation : </w:t>
      </w:r>
    </w:p>
    <w:p w14:paraId="355B99AD" w14:textId="77777777" w:rsidR="008B1D61" w:rsidRDefault="00013DEA" w:rsidP="00614BF3">
      <w:pPr>
        <w:pStyle w:val="Paragraphedeliste"/>
        <w:numPr>
          <w:ilvl w:val="1"/>
          <w:numId w:val="3"/>
        </w:numPr>
        <w:jc w:val="both"/>
      </w:pPr>
      <w:r>
        <w:t xml:space="preserve">compétences </w:t>
      </w:r>
      <w:r w:rsidR="00614BF3">
        <w:t>exclusives à 100%</w:t>
      </w:r>
      <w:r w:rsidR="00F10DD2">
        <w:t xml:space="preserve"> ? </w:t>
      </w:r>
      <w:r w:rsidR="00614BF3">
        <w:t xml:space="preserve">ou système allemand et UE d’une liste de compétences </w:t>
      </w:r>
      <w:r>
        <w:t>concurrentes éventuelles</w:t>
      </w:r>
      <w:r w:rsidR="00614BF3">
        <w:t xml:space="preserve"> </w:t>
      </w:r>
      <w:r w:rsidR="00614BF3">
        <w:sym w:font="Wingdings" w:char="F0E8"/>
      </w:r>
      <w:r w:rsidR="00614BF3">
        <w:t xml:space="preserve"> quel sort leur réserver (« bundesrecht bricht landesrecht »</w:t>
      </w:r>
      <w:r w:rsidR="0059655A">
        <w:t>) ?</w:t>
      </w:r>
    </w:p>
    <w:p w14:paraId="16234A88" w14:textId="77777777" w:rsidR="00614BF3" w:rsidRDefault="00614BF3" w:rsidP="00614BF3">
      <w:pPr>
        <w:pStyle w:val="Paragraphedeliste"/>
        <w:numPr>
          <w:ilvl w:val="1"/>
          <w:numId w:val="3"/>
        </w:numPr>
        <w:jc w:val="both"/>
      </w:pPr>
      <w:r>
        <w:t>pouvoirs implicites) </w:t>
      </w:r>
    </w:p>
    <w:p w14:paraId="62EEFE39" w14:textId="77777777" w:rsidR="00C03506" w:rsidRDefault="00C03506" w:rsidP="00614BF3">
      <w:pPr>
        <w:pStyle w:val="Paragraphedeliste"/>
        <w:numPr>
          <w:ilvl w:val="1"/>
          <w:numId w:val="3"/>
        </w:numPr>
        <w:jc w:val="both"/>
      </w:pPr>
      <w:r>
        <w:lastRenderedPageBreak/>
        <w:t xml:space="preserve">équipollence des normes dans les compétences respectives, sauf pour la catégorie des « principes » : le fédéral définit un cadre qui s’impose aux entités fédérées  </w:t>
      </w:r>
    </w:p>
    <w:p w14:paraId="059BC11A" w14:textId="77777777" w:rsidR="008B1D61" w:rsidRDefault="008B1D61" w:rsidP="008B1D61">
      <w:pPr>
        <w:pStyle w:val="Paragraphedeliste"/>
        <w:numPr>
          <w:ilvl w:val="0"/>
          <w:numId w:val="3"/>
        </w:numPr>
        <w:jc w:val="both"/>
      </w:pPr>
      <w:r>
        <w:t xml:space="preserve">Primauté du droit international approuvé et du droit supra national </w:t>
      </w:r>
    </w:p>
    <w:p w14:paraId="434BC79B" w14:textId="77777777" w:rsidR="008B1D61" w:rsidRDefault="008B1D61" w:rsidP="008B1D61">
      <w:pPr>
        <w:pStyle w:val="Paragraphedeliste"/>
        <w:numPr>
          <w:ilvl w:val="0"/>
          <w:numId w:val="3"/>
        </w:numPr>
        <w:jc w:val="both"/>
      </w:pPr>
      <w:r>
        <w:t>Capacité de déléguer certains pouvoirs à une institution internationale ou supranationale</w:t>
      </w:r>
    </w:p>
    <w:p w14:paraId="4D3551E3" w14:textId="77777777" w:rsidR="0083151E" w:rsidRDefault="002F797E" w:rsidP="008B1D61">
      <w:pPr>
        <w:pStyle w:val="Paragraphedeliste"/>
        <w:numPr>
          <w:ilvl w:val="0"/>
          <w:numId w:val="3"/>
        </w:numPr>
        <w:jc w:val="both"/>
      </w:pPr>
      <w:r>
        <w:t xml:space="preserve">Règles de base en matière </w:t>
      </w:r>
      <w:r w:rsidR="0083151E">
        <w:t>institutionnelle</w:t>
      </w:r>
      <w:r>
        <w:t> </w:t>
      </w:r>
      <w:r w:rsidR="0083151E">
        <w:t xml:space="preserve">et sur le financement de l’autorité fédérale et des entités fédérées ; </w:t>
      </w:r>
    </w:p>
    <w:p w14:paraId="11933D5F" w14:textId="77777777" w:rsidR="00E60B98" w:rsidRDefault="00E60B98" w:rsidP="008B1D61">
      <w:pPr>
        <w:pStyle w:val="Paragraphedeliste"/>
        <w:numPr>
          <w:ilvl w:val="0"/>
          <w:numId w:val="3"/>
        </w:numPr>
        <w:jc w:val="both"/>
      </w:pPr>
      <w:r>
        <w:t>Rôle et structures des juridictions supérieures : Cour constitutionnelle, Cour de cassation, Conseil d'Etat + certaines institutions interfédérales (contrôle des droits humains)</w:t>
      </w:r>
      <w:r w:rsidR="00D810F3">
        <w:t> ;</w:t>
      </w:r>
    </w:p>
    <w:p w14:paraId="58A61910" w14:textId="45502DBC" w:rsidR="00D810F3" w:rsidRDefault="00D810F3" w:rsidP="00D810F3">
      <w:pPr>
        <w:pStyle w:val="Paragraphedeliste"/>
        <w:numPr>
          <w:ilvl w:val="0"/>
          <w:numId w:val="3"/>
        </w:numPr>
        <w:jc w:val="both"/>
      </w:pPr>
      <w:r>
        <w:t xml:space="preserve">Principe commun du procès équitable pour toutes les catégories de juridictions (judiciaires, administratives, Cour constitutionnelle) ;  </w:t>
      </w:r>
    </w:p>
    <w:p w14:paraId="771C5373" w14:textId="77777777" w:rsidR="008235DF" w:rsidRDefault="008235DF" w:rsidP="008235DF">
      <w:pPr>
        <w:pStyle w:val="Paragraphedeliste"/>
        <w:numPr>
          <w:ilvl w:val="0"/>
          <w:numId w:val="3"/>
        </w:numPr>
        <w:jc w:val="both"/>
      </w:pPr>
      <w:r>
        <w:t>Le pacte fédéral prévoit l’adhésion (ratification) de toutes les entités aux Conventions du Conseil de l'Europe (DH et minorités nationales)</w:t>
      </w:r>
      <w:r w:rsidR="00D810F3">
        <w:t>.</w:t>
      </w:r>
    </w:p>
    <w:p w14:paraId="14BA5E69" w14:textId="77777777" w:rsidR="00F10DD2" w:rsidRDefault="00F10DD2" w:rsidP="00F10DD2">
      <w:pPr>
        <w:pStyle w:val="Paragraphedeliste"/>
        <w:jc w:val="both"/>
      </w:pPr>
    </w:p>
    <w:p w14:paraId="4CC4B0E5" w14:textId="77777777" w:rsidR="008B1D61" w:rsidRDefault="008B1D61" w:rsidP="00E02AAA">
      <w:pPr>
        <w:jc w:val="both"/>
      </w:pPr>
      <w:r>
        <w:t>PROCÉDURE : ces mati</w:t>
      </w:r>
      <w:r w:rsidR="00E60B98">
        <w:t xml:space="preserve">ères sont décidées </w:t>
      </w:r>
      <w:r w:rsidR="002C6C05">
        <w:t>par les deux assemblées fédérales selon une procédure bicamérale.</w:t>
      </w:r>
    </w:p>
    <w:p w14:paraId="30C3175C" w14:textId="77777777" w:rsidR="009E0DA7" w:rsidRDefault="00525797" w:rsidP="008235DF">
      <w:pPr>
        <w:pBdr>
          <w:top w:val="single" w:sz="4" w:space="1" w:color="auto"/>
          <w:left w:val="single" w:sz="4" w:space="4" w:color="auto"/>
          <w:bottom w:val="single" w:sz="4" w:space="1" w:color="auto"/>
          <w:right w:val="single" w:sz="4" w:space="4" w:color="auto"/>
        </w:pBdr>
        <w:shd w:val="clear" w:color="auto" w:fill="E7E6E6" w:themeFill="background2"/>
        <w:jc w:val="both"/>
      </w:pPr>
      <w:r w:rsidRPr="008235DF">
        <w:rPr>
          <w:highlight w:val="cyan"/>
        </w:rPr>
        <w:t>AUTORITÉ FÉDÉRALE</w:t>
      </w:r>
      <w:r>
        <w:t xml:space="preserve">  </w:t>
      </w:r>
    </w:p>
    <w:p w14:paraId="4763F9EA" w14:textId="77777777" w:rsidR="00525797" w:rsidRPr="005F29A5" w:rsidRDefault="00525797" w:rsidP="00E02AAA">
      <w:pPr>
        <w:jc w:val="both"/>
        <w:rPr>
          <w:b/>
        </w:rPr>
      </w:pPr>
      <w:r w:rsidRPr="005F29A5">
        <w:rPr>
          <w:b/>
        </w:rPr>
        <w:t>COMPETENCES</w:t>
      </w:r>
    </w:p>
    <w:p w14:paraId="61776983" w14:textId="77777777" w:rsidR="00C03506" w:rsidRDefault="00525797" w:rsidP="00E02AAA">
      <w:pPr>
        <w:pStyle w:val="Paragraphedeliste"/>
        <w:numPr>
          <w:ilvl w:val="0"/>
          <w:numId w:val="2"/>
        </w:numPr>
        <w:jc w:val="both"/>
      </w:pPr>
      <w:r>
        <w:t>Prévues par la Constitution (art.35)</w:t>
      </w:r>
      <w:r w:rsidR="007C5671">
        <w:t> : au minimum</w:t>
      </w:r>
      <w:r w:rsidR="00F52E25">
        <w:t> </w:t>
      </w:r>
      <w:r w:rsidR="00C03506">
        <w:t>(</w:t>
      </w:r>
      <w:r w:rsidR="008B1D61">
        <w:t>outre le</w:t>
      </w:r>
      <w:r w:rsidR="002F797E">
        <w:t xml:space="preserve"> </w:t>
      </w:r>
      <w:r w:rsidR="008B1D61">
        <w:t>s</w:t>
      </w:r>
      <w:r w:rsidR="002F797E">
        <w:t>ocle précité</w:t>
      </w:r>
      <w:r w:rsidR="00C03506">
        <w:t>) :</w:t>
      </w:r>
      <w:r w:rsidR="00F52E25">
        <w:t xml:space="preserve"> </w:t>
      </w:r>
      <w:r w:rsidR="007C5671">
        <w:t>sécurité sociale</w:t>
      </w:r>
      <w:r w:rsidR="00F42E8E">
        <w:rPr>
          <w:rStyle w:val="Appelnotedebasdep"/>
        </w:rPr>
        <w:footnoteReference w:id="2"/>
      </w:r>
      <w:r w:rsidR="007C5671">
        <w:t>,</w:t>
      </w:r>
      <w:r w:rsidR="000D0F6F">
        <w:t xml:space="preserve"> sécurité,</w:t>
      </w:r>
      <w:r w:rsidR="007C5671">
        <w:t xml:space="preserve"> défense, </w:t>
      </w:r>
      <w:r w:rsidR="000D0F6F">
        <w:t xml:space="preserve">Justice, </w:t>
      </w:r>
      <w:r w:rsidR="002F797E">
        <w:t xml:space="preserve">nationalité, droit des étrangers, </w:t>
      </w:r>
      <w:r w:rsidR="00C03506">
        <w:t xml:space="preserve">normes de produits, relations internationales dans les matières fédérales et coordination interfédérale, </w:t>
      </w:r>
    </w:p>
    <w:p w14:paraId="3D17A8D2" w14:textId="77777777" w:rsidR="00525797" w:rsidRDefault="00C03506" w:rsidP="00E02AAA">
      <w:pPr>
        <w:pStyle w:val="Paragraphedeliste"/>
        <w:numPr>
          <w:ilvl w:val="0"/>
          <w:numId w:val="2"/>
        </w:numPr>
        <w:jc w:val="both"/>
      </w:pPr>
      <w:r>
        <w:t>principes</w:t>
      </w:r>
      <w:r>
        <w:rPr>
          <w:rStyle w:val="Appelnotedebasdep"/>
        </w:rPr>
        <w:footnoteReference w:id="3"/>
      </w:r>
      <w:r>
        <w:t xml:space="preserve"> </w:t>
      </w:r>
      <w:r w:rsidR="002F797E">
        <w:t xml:space="preserve">du droit civil, droit pénal, </w:t>
      </w:r>
      <w:r>
        <w:t xml:space="preserve"> social, </w:t>
      </w:r>
      <w:r w:rsidR="002F797E">
        <w:t xml:space="preserve">commercial, économique, </w:t>
      </w:r>
    </w:p>
    <w:p w14:paraId="4FB45F26" w14:textId="77777777" w:rsidR="00525797" w:rsidRDefault="007C5671" w:rsidP="00E02AAA">
      <w:pPr>
        <w:pStyle w:val="Paragraphedeliste"/>
        <w:numPr>
          <w:ilvl w:val="0"/>
          <w:numId w:val="2"/>
        </w:numPr>
        <w:jc w:val="both"/>
      </w:pPr>
      <w:r>
        <w:t>Matières ou programmes décidés</w:t>
      </w:r>
      <w:r w:rsidR="00525797">
        <w:t xml:space="preserve"> par le Sénat (pour tenir compte de l’évolution de la société mais aussi permettre une souplesse)</w:t>
      </w:r>
      <w:r w:rsidR="00C03506">
        <w:t> ; voir ci-dessous.</w:t>
      </w:r>
    </w:p>
    <w:p w14:paraId="55B30CFF" w14:textId="77777777" w:rsidR="00525797" w:rsidRDefault="00525797" w:rsidP="00E02AAA">
      <w:pPr>
        <w:jc w:val="both"/>
      </w:pPr>
    </w:p>
    <w:p w14:paraId="51066475" w14:textId="77777777" w:rsidR="00525797" w:rsidRPr="005F29A5" w:rsidRDefault="00525797" w:rsidP="00E02AAA">
      <w:pPr>
        <w:jc w:val="both"/>
        <w:rPr>
          <w:b/>
        </w:rPr>
      </w:pPr>
      <w:r w:rsidRPr="005F29A5">
        <w:rPr>
          <w:b/>
        </w:rPr>
        <w:t>STRUCTURES</w:t>
      </w:r>
    </w:p>
    <w:p w14:paraId="7D48C3D4" w14:textId="77777777" w:rsidR="00525797" w:rsidRDefault="00525797" w:rsidP="00E02AAA">
      <w:pPr>
        <w:jc w:val="both"/>
      </w:pPr>
      <w:r>
        <w:t>Un Parlement bicaméral :</w:t>
      </w:r>
      <w:r w:rsidR="0083151E">
        <w:t xml:space="preserve"> la Chambre exerce en principe le pouvoir législatif, mais le Sénat intervient dans certaines circonstances</w:t>
      </w:r>
      <w:r w:rsidR="00C03506">
        <w:t>.</w:t>
      </w:r>
    </w:p>
    <w:p w14:paraId="6B8D885C" w14:textId="77777777" w:rsidR="00525797" w:rsidRDefault="00525797" w:rsidP="00E02AAA">
      <w:pPr>
        <w:pStyle w:val="Paragraphedeliste"/>
        <w:numPr>
          <w:ilvl w:val="0"/>
          <w:numId w:val="1"/>
        </w:numPr>
        <w:jc w:val="both"/>
      </w:pPr>
      <w:r>
        <w:t>Chambre</w:t>
      </w:r>
      <w:r w:rsidR="00491603">
        <w:t xml:space="preserve"> : élections par circonscriptions provinciales (% de la population) + circonscription nationale pour x sièges de chaque Communauté </w:t>
      </w:r>
      <w:r w:rsidR="009A14AD">
        <w:t>(ce qui permet aux Francophones de Flandre de voter pour des candidats francophones) ;</w:t>
      </w:r>
      <w:r>
        <w:t xml:space="preserve"> </w:t>
      </w:r>
    </w:p>
    <w:p w14:paraId="2FB52470" w14:textId="77777777" w:rsidR="00525797" w:rsidRDefault="00525797" w:rsidP="00E02AAA">
      <w:pPr>
        <w:pStyle w:val="Paragraphedeliste"/>
        <w:numPr>
          <w:ilvl w:val="0"/>
          <w:numId w:val="1"/>
        </w:numPr>
        <w:jc w:val="both"/>
      </w:pPr>
      <w:r>
        <w:t>Sénat</w:t>
      </w:r>
      <w:r w:rsidR="00491603">
        <w:t> : rencontre paritaire des Parlements des deux Etats fédérés</w:t>
      </w:r>
      <w:r w:rsidR="009A14AD">
        <w:t> ;</w:t>
      </w:r>
    </w:p>
    <w:p w14:paraId="5343AFA2" w14:textId="77777777" w:rsidR="00491603" w:rsidRDefault="00491603" w:rsidP="00E02AAA">
      <w:pPr>
        <w:pStyle w:val="Paragraphedeliste"/>
        <w:numPr>
          <w:ilvl w:val="0"/>
          <w:numId w:val="1"/>
        </w:numPr>
        <w:jc w:val="both"/>
      </w:pPr>
      <w:r>
        <w:t>Le Sénat aurait comme compétences :</w:t>
      </w:r>
    </w:p>
    <w:p w14:paraId="66B5B69C" w14:textId="460554B9" w:rsidR="00491603" w:rsidRDefault="0083151E" w:rsidP="00E02AAA">
      <w:pPr>
        <w:pStyle w:val="Paragraphedeliste"/>
        <w:numPr>
          <w:ilvl w:val="1"/>
          <w:numId w:val="1"/>
        </w:numPr>
        <w:jc w:val="both"/>
      </w:pPr>
      <w:r>
        <w:t xml:space="preserve">Les votes sur le socle </w:t>
      </w:r>
      <w:r w:rsidR="00C03506">
        <w:t xml:space="preserve">constitutionnel </w:t>
      </w:r>
      <w:r>
        <w:t>précité</w:t>
      </w:r>
      <w:r w:rsidR="00B11D7E">
        <w:t xml:space="preserve"> </w:t>
      </w:r>
      <w:r w:rsidR="00C03506">
        <w:t xml:space="preserve">(en ce compris donc des modifications dans la répartition des </w:t>
      </w:r>
      <w:r w:rsidR="00491603">
        <w:t>compétences</w:t>
      </w:r>
      <w:r w:rsidR="00C03506">
        <w:t>)</w:t>
      </w:r>
      <w:r w:rsidR="00D67F63">
        <w:t> ;</w:t>
      </w:r>
    </w:p>
    <w:p w14:paraId="15D0A204" w14:textId="71AC064A" w:rsidR="00D67F63" w:rsidRDefault="00D67F63" w:rsidP="00E02AAA">
      <w:pPr>
        <w:pStyle w:val="Paragraphedeliste"/>
        <w:numPr>
          <w:ilvl w:val="1"/>
          <w:numId w:val="1"/>
        </w:numPr>
        <w:jc w:val="both"/>
      </w:pPr>
      <w:r>
        <w:t>Approbation des traités multilatéraux mixtes ;</w:t>
      </w:r>
    </w:p>
    <w:p w14:paraId="642B79ED" w14:textId="77777777" w:rsidR="00491603" w:rsidRDefault="00491603" w:rsidP="00E02AAA">
      <w:pPr>
        <w:pStyle w:val="Paragraphedeliste"/>
        <w:numPr>
          <w:ilvl w:val="1"/>
          <w:numId w:val="1"/>
        </w:numPr>
        <w:jc w:val="both"/>
      </w:pPr>
      <w:r>
        <w:t>Accorder à l’autorité fédérale des pouvoirs pour mettre en œuvre certains programmes nécessitant une coordination (ex : plan climat, mobilité, rép</w:t>
      </w:r>
      <w:r w:rsidR="00F10DD2">
        <w:t>o</w:t>
      </w:r>
      <w:r>
        <w:t>nse à des enjeux européens, représentation internationale) ;</w:t>
      </w:r>
    </w:p>
    <w:p w14:paraId="72F17194" w14:textId="192FCEEC" w:rsidR="00491603" w:rsidRDefault="00491603" w:rsidP="00E02AAA">
      <w:pPr>
        <w:pStyle w:val="Paragraphedeliste"/>
        <w:numPr>
          <w:ilvl w:val="1"/>
          <w:numId w:val="1"/>
        </w:numPr>
        <w:jc w:val="both"/>
      </w:pPr>
      <w:r>
        <w:lastRenderedPageBreak/>
        <w:t xml:space="preserve">Se substituer à l’inaction de certaines entités fédérées </w:t>
      </w:r>
      <w:r w:rsidR="003A6B2E">
        <w:t xml:space="preserve">dans l’application </w:t>
      </w:r>
      <w:r>
        <w:t xml:space="preserve">des conventions internationales ou </w:t>
      </w:r>
      <w:r w:rsidR="003A6B2E">
        <w:t xml:space="preserve">des </w:t>
      </w:r>
      <w:r>
        <w:t>obligations supranationales ;</w:t>
      </w:r>
    </w:p>
    <w:p w14:paraId="339F3DF7" w14:textId="1B057753" w:rsidR="00491603" w:rsidRDefault="00491603" w:rsidP="00E02AAA">
      <w:pPr>
        <w:pStyle w:val="Paragraphedeliste"/>
        <w:numPr>
          <w:ilvl w:val="1"/>
          <w:numId w:val="1"/>
        </w:numPr>
        <w:jc w:val="both"/>
      </w:pPr>
      <w:r>
        <w:t>Droit d’évocation devant le blocage par un niveau de pouvoir quant à la signature ou la ratification de certains traités</w:t>
      </w:r>
      <w:r w:rsidR="00D67F63">
        <w:t xml:space="preserve"> mixtes</w:t>
      </w:r>
      <w:r>
        <w:t>.</w:t>
      </w:r>
    </w:p>
    <w:p w14:paraId="7F1908AA" w14:textId="77777777" w:rsidR="00525797" w:rsidRDefault="00525797" w:rsidP="00E02AAA">
      <w:pPr>
        <w:jc w:val="both"/>
      </w:pPr>
      <w:r>
        <w:t>Gouvernement paritaire</w:t>
      </w:r>
      <w:r w:rsidR="001C4507">
        <w:t xml:space="preserve"> responsable devant la Chambre.</w:t>
      </w:r>
    </w:p>
    <w:p w14:paraId="7E6E5D16" w14:textId="77777777" w:rsidR="00525797" w:rsidRDefault="00525797" w:rsidP="00E02AAA">
      <w:pPr>
        <w:jc w:val="both"/>
      </w:pPr>
    </w:p>
    <w:p w14:paraId="6AF61498" w14:textId="77777777" w:rsidR="003B6F52" w:rsidRPr="001C4507" w:rsidRDefault="003B6F52" w:rsidP="00E02AAA">
      <w:pPr>
        <w:jc w:val="both"/>
        <w:rPr>
          <w:b/>
        </w:rPr>
      </w:pPr>
      <w:r w:rsidRPr="001C4507">
        <w:rPr>
          <w:b/>
        </w:rPr>
        <w:t xml:space="preserve">FINANCEMENT </w:t>
      </w:r>
    </w:p>
    <w:p w14:paraId="7D80F1F1" w14:textId="77777777" w:rsidR="003B6F52" w:rsidRDefault="003B6F52" w:rsidP="00E02AAA">
      <w:pPr>
        <w:pStyle w:val="Paragraphedeliste"/>
        <w:numPr>
          <w:ilvl w:val="0"/>
          <w:numId w:val="1"/>
        </w:numPr>
        <w:jc w:val="both"/>
      </w:pPr>
      <w:r>
        <w:t>Le budget fédéral se verra assigner quelques impôts les moins liés au territoire</w:t>
      </w:r>
      <w:r w:rsidR="00976A7D">
        <w:t xml:space="preserve"> et le plus à la libre circulation (TVA ?</w:t>
      </w:r>
      <w:r w:rsidR="000D0F6F">
        <w:t>, accises ?</w:t>
      </w:r>
      <w:r w:rsidR="00976A7D">
        <w:t>)</w:t>
      </w:r>
    </w:p>
    <w:p w14:paraId="56CEABF3" w14:textId="77777777" w:rsidR="005D4D54" w:rsidRDefault="00976A7D" w:rsidP="00E02AAA">
      <w:pPr>
        <w:pStyle w:val="Paragraphedeliste"/>
        <w:numPr>
          <w:ilvl w:val="0"/>
          <w:numId w:val="1"/>
        </w:numPr>
        <w:jc w:val="both"/>
      </w:pPr>
      <w:r>
        <w:t xml:space="preserve">Le budget fédéral garde la charge de la dette publique du passé. </w:t>
      </w:r>
    </w:p>
    <w:p w14:paraId="51A77DCA" w14:textId="77777777" w:rsidR="00976A7D" w:rsidRDefault="005D4D54" w:rsidP="00E02AAA">
      <w:pPr>
        <w:pStyle w:val="Paragraphedeliste"/>
        <w:numPr>
          <w:ilvl w:val="0"/>
          <w:numId w:val="1"/>
        </w:numPr>
        <w:jc w:val="both"/>
      </w:pPr>
      <w:r>
        <w:t>Lors des transferts budgétaires accompagnant les transferts de compétences, le critère ne sera pas la population, ni le PIB, mais visera à égaliser les taux de déficits éventuels par rapport aux PIB de chaque entité ; en d’autres termes : aucune entité ne sera handicapée dès le départ.</w:t>
      </w:r>
    </w:p>
    <w:p w14:paraId="21919988" w14:textId="77777777" w:rsidR="00525797" w:rsidRDefault="00525797" w:rsidP="00E02AAA">
      <w:pPr>
        <w:jc w:val="both"/>
      </w:pPr>
    </w:p>
    <w:p w14:paraId="69BBC681" w14:textId="77777777" w:rsidR="00525797" w:rsidRPr="00AD6EAE" w:rsidRDefault="00525797" w:rsidP="008235DF">
      <w:pPr>
        <w:pBdr>
          <w:top w:val="single" w:sz="4" w:space="1" w:color="auto"/>
          <w:left w:val="single" w:sz="4" w:space="4" w:color="auto"/>
          <w:bottom w:val="single" w:sz="4" w:space="1" w:color="auto"/>
          <w:right w:val="single" w:sz="4" w:space="4" w:color="auto"/>
        </w:pBdr>
        <w:shd w:val="clear" w:color="auto" w:fill="E7E6E6" w:themeFill="background2"/>
        <w:jc w:val="both"/>
        <w:rPr>
          <w:b/>
        </w:rPr>
      </w:pPr>
      <w:r w:rsidRPr="00AD6EAE">
        <w:rPr>
          <w:b/>
        </w:rPr>
        <w:t xml:space="preserve">2 ENTITÉS FÉDÉRÉES : FLANDRE ET FEDERATION </w:t>
      </w:r>
      <w:r w:rsidR="007C5671" w:rsidRPr="00AD6EAE">
        <w:rPr>
          <w:b/>
        </w:rPr>
        <w:t>WALLONIE-BRUXELLES</w:t>
      </w:r>
      <w:r w:rsidRPr="00AD6EAE">
        <w:rPr>
          <w:b/>
        </w:rPr>
        <w:t xml:space="preserve"> </w:t>
      </w:r>
      <w:r w:rsidR="00235BC4">
        <w:rPr>
          <w:b/>
        </w:rPr>
        <w:t>(à ne pas confondre avec l’actuelle Communauté française)</w:t>
      </w:r>
    </w:p>
    <w:p w14:paraId="63BB235E" w14:textId="77777777" w:rsidR="00525797" w:rsidRDefault="00525797" w:rsidP="00E02AAA">
      <w:pPr>
        <w:jc w:val="both"/>
      </w:pPr>
    </w:p>
    <w:p w14:paraId="1D48CB8E" w14:textId="77777777" w:rsidR="00525797" w:rsidRPr="001C4507" w:rsidRDefault="00525797" w:rsidP="00E02AAA">
      <w:pPr>
        <w:jc w:val="both"/>
        <w:rPr>
          <w:b/>
        </w:rPr>
      </w:pPr>
      <w:r w:rsidRPr="001C4507">
        <w:rPr>
          <w:b/>
        </w:rPr>
        <w:t>TERRITOIRE</w:t>
      </w:r>
    </w:p>
    <w:p w14:paraId="0CB5CA79" w14:textId="77777777" w:rsidR="00525797" w:rsidRDefault="00525797" w:rsidP="00E02AAA">
      <w:pPr>
        <w:pStyle w:val="Paragraphedeliste"/>
        <w:numPr>
          <w:ilvl w:val="0"/>
          <w:numId w:val="1"/>
        </w:numPr>
        <w:jc w:val="both"/>
      </w:pPr>
      <w:r>
        <w:t>On part des 3 régions actuelles et on consulte les populations des communes à facilités limitrophes à une Région ; la décision deviendra définitive</w:t>
      </w:r>
      <w:r w:rsidR="001F49BD">
        <w:t>.</w:t>
      </w:r>
    </w:p>
    <w:p w14:paraId="35254D2A" w14:textId="77777777" w:rsidR="0001426B" w:rsidRDefault="0001426B" w:rsidP="00E02AAA">
      <w:pPr>
        <w:pStyle w:val="Paragraphedeliste"/>
        <w:numPr>
          <w:ilvl w:val="0"/>
          <w:numId w:val="1"/>
        </w:numPr>
        <w:jc w:val="both"/>
      </w:pPr>
      <w:r>
        <w:t>Les compétences se limitent au territoire, à l’exception du pouvoir de chaque entité fédérée de subventionner les activités culturelles et l’enseignement au profit de la minorité dans l’autre entité</w:t>
      </w:r>
      <w:r w:rsidR="00FF6275">
        <w:t> ; en clair : la Flandre peut soutenir la culture et l’enseignement flamands à Bruxelles </w:t>
      </w:r>
      <w:r w:rsidR="009A14AD">
        <w:t xml:space="preserve"> </w:t>
      </w:r>
      <w:r w:rsidR="00FF6275">
        <w:t xml:space="preserve">et dans les communes à facilités de la région de langue française qui n’auront pas opté pour le rattachement à la Flandre; la FWB peut soutenir la culture et l’enseignement francophone dans les communes </w:t>
      </w:r>
      <w:r w:rsidR="00CF3D2D">
        <w:t xml:space="preserve">à facilités </w:t>
      </w:r>
      <w:r w:rsidR="00FF6275">
        <w:t>de la région de langue néerlandaise qui n’auront pas opté pour le rattachement.</w:t>
      </w:r>
    </w:p>
    <w:p w14:paraId="730E097D" w14:textId="77777777" w:rsidR="00525797" w:rsidRDefault="00525797" w:rsidP="00E02AAA">
      <w:pPr>
        <w:pStyle w:val="Paragraphedeliste"/>
        <w:jc w:val="both"/>
      </w:pPr>
    </w:p>
    <w:p w14:paraId="7C8EFA51" w14:textId="77777777" w:rsidR="00525797" w:rsidRDefault="00525797" w:rsidP="00E02AAA">
      <w:pPr>
        <w:jc w:val="both"/>
      </w:pPr>
    </w:p>
    <w:p w14:paraId="1425E3A6" w14:textId="77777777" w:rsidR="00525797" w:rsidRPr="001C4507" w:rsidRDefault="00525797" w:rsidP="00E02AAA">
      <w:pPr>
        <w:jc w:val="both"/>
        <w:rPr>
          <w:b/>
        </w:rPr>
      </w:pPr>
      <w:r w:rsidRPr="001C4507">
        <w:rPr>
          <w:b/>
        </w:rPr>
        <w:t>COMPETENCES </w:t>
      </w:r>
      <w:r w:rsidR="00FF6275" w:rsidRPr="001C4507">
        <w:rPr>
          <w:b/>
        </w:rPr>
        <w:t>MATÉRIELLES</w:t>
      </w:r>
      <w:r w:rsidRPr="001C4507">
        <w:rPr>
          <w:b/>
        </w:rPr>
        <w:t>:</w:t>
      </w:r>
    </w:p>
    <w:p w14:paraId="0C9B1247" w14:textId="77777777" w:rsidR="00525797" w:rsidRDefault="00525797" w:rsidP="00E02AAA">
      <w:pPr>
        <w:pStyle w:val="Paragraphedeliste"/>
        <w:numPr>
          <w:ilvl w:val="0"/>
          <w:numId w:val="1"/>
        </w:numPr>
        <w:jc w:val="both"/>
      </w:pPr>
      <w:r>
        <w:t xml:space="preserve">Toutes les compétences </w:t>
      </w:r>
      <w:r w:rsidR="00BD004C">
        <w:t>non fédérales</w:t>
      </w:r>
      <w:r>
        <w:t> : ce qui contourne la difficulté</w:t>
      </w:r>
      <w:r w:rsidR="00BD004C">
        <w:t xml:space="preserve"> en outre la difficulté de l’art. 35 de savoir si les compétences résiduelles vont aux Régions ou aux Communautés ; </w:t>
      </w:r>
    </w:p>
    <w:p w14:paraId="3418DF66" w14:textId="77777777" w:rsidR="00620267" w:rsidRDefault="00620267" w:rsidP="00E02AAA">
      <w:pPr>
        <w:pStyle w:val="Paragraphedeliste"/>
        <w:numPr>
          <w:ilvl w:val="0"/>
          <w:numId w:val="1"/>
        </w:numPr>
        <w:jc w:val="both"/>
      </w:pPr>
      <w:r>
        <w:t>En ce compris les relations internationales dans les matières fédérées, mais avec coordination interfédérale</w:t>
      </w:r>
      <w:r w:rsidR="00E02AAA">
        <w:t> ;</w:t>
      </w:r>
    </w:p>
    <w:p w14:paraId="393F08F9" w14:textId="77777777" w:rsidR="00155269" w:rsidRDefault="00155269" w:rsidP="00E02AAA">
      <w:pPr>
        <w:pStyle w:val="Paragraphedeliste"/>
        <w:numPr>
          <w:ilvl w:val="0"/>
          <w:numId w:val="1"/>
        </w:numPr>
        <w:jc w:val="both"/>
      </w:pPr>
      <w:r>
        <w:t>On évite aussi la question de la sous-nationalité à Bruxelles</w:t>
      </w:r>
      <w:r w:rsidR="00E02AAA">
        <w:t> ;</w:t>
      </w:r>
      <w:r>
        <w:t xml:space="preserve"> </w:t>
      </w:r>
    </w:p>
    <w:p w14:paraId="424805C9" w14:textId="77777777" w:rsidR="00A75D66" w:rsidRDefault="00A75D66" w:rsidP="00E02AAA">
      <w:pPr>
        <w:pStyle w:val="Paragraphedeliste"/>
        <w:numPr>
          <w:ilvl w:val="0"/>
          <w:numId w:val="1"/>
        </w:numPr>
        <w:jc w:val="both"/>
      </w:pPr>
      <w:r>
        <w:t xml:space="preserve">Autonomie constitutive : </w:t>
      </w:r>
      <w:r w:rsidRPr="00A75D66">
        <w:t xml:space="preserve">la Constitution </w:t>
      </w:r>
      <w:r>
        <w:t>fédérale autorise les entités fédérées à organiser leur structures librement</w:t>
      </w:r>
      <w:r>
        <w:sym w:font="Wingdings" w:char="F0E8"/>
      </w:r>
      <w:r>
        <w:t xml:space="preserve"> FWB</w:t>
      </w:r>
      <w:r w:rsidRPr="00A75D66">
        <w:t xml:space="preserve"> pourra répartir </w:t>
      </w:r>
      <w:r>
        <w:t>s</w:t>
      </w:r>
      <w:r w:rsidRPr="00A75D66">
        <w:t xml:space="preserve">es compétences entre </w:t>
      </w:r>
      <w:r>
        <w:t xml:space="preserve">elle-même et 3 </w:t>
      </w:r>
      <w:r w:rsidRPr="00A75D66">
        <w:t>autorités régionales</w:t>
      </w:r>
      <w:r>
        <w:t xml:space="preserve"> : Wallonie, Bruxelles, </w:t>
      </w:r>
      <w:r w:rsidRPr="00A75D66">
        <w:t>Région germanophone</w:t>
      </w:r>
      <w:r>
        <w:t>.</w:t>
      </w:r>
      <w:r w:rsidR="006B3E73">
        <w:t xml:space="preserve"> Ce qui peut être a priori</w:t>
      </w:r>
      <w:r w:rsidR="00AD6EAE">
        <w:t xml:space="preserve"> </w:t>
      </w:r>
      <w:r w:rsidR="006B3E73">
        <w:t>perçu comme une complexité a plusieurs avantages :</w:t>
      </w:r>
    </w:p>
    <w:p w14:paraId="6012B4E1" w14:textId="77777777" w:rsidR="006B3E73" w:rsidRDefault="006B3E73" w:rsidP="00E02AAA">
      <w:pPr>
        <w:pStyle w:val="Paragraphedeliste"/>
        <w:numPr>
          <w:ilvl w:val="1"/>
          <w:numId w:val="1"/>
        </w:numPr>
        <w:jc w:val="both"/>
      </w:pPr>
      <w:r>
        <w:t>Cela correspond au vœu des populations</w:t>
      </w:r>
    </w:p>
    <w:p w14:paraId="48B1F2CE" w14:textId="52C377A1" w:rsidR="006B3E73" w:rsidRDefault="006B3E73" w:rsidP="00E02AAA">
      <w:pPr>
        <w:pStyle w:val="Paragraphedeliste"/>
        <w:numPr>
          <w:ilvl w:val="1"/>
          <w:numId w:val="1"/>
        </w:numPr>
        <w:jc w:val="both"/>
      </w:pPr>
      <w:r>
        <w:t>Les élus responsables de ces divers</w:t>
      </w:r>
      <w:r w:rsidR="000655B2">
        <w:t>es</w:t>
      </w:r>
      <w:r>
        <w:t xml:space="preserve"> entités sont les mêmes pour les deux niveaux : Parlement et gouvernement de la FWB sont composés des élus des 3 Régions + d’élus d’une circonscription globale. </w:t>
      </w:r>
    </w:p>
    <w:p w14:paraId="6DBCA538" w14:textId="77777777" w:rsidR="005F740A" w:rsidRDefault="005F740A" w:rsidP="00E02AAA">
      <w:pPr>
        <w:pStyle w:val="Paragraphedeliste"/>
        <w:numPr>
          <w:ilvl w:val="1"/>
          <w:numId w:val="1"/>
        </w:numPr>
        <w:jc w:val="both"/>
      </w:pPr>
      <w:r>
        <w:t>A Bruxelles, on simplifie fort la carte institutionnelle  (plus de COCOF, VGC, COCOM…)</w:t>
      </w:r>
    </w:p>
    <w:p w14:paraId="791B541F" w14:textId="77777777" w:rsidR="00E156FB" w:rsidRDefault="00E156FB" w:rsidP="00E156FB">
      <w:pPr>
        <w:pStyle w:val="Paragraphedeliste"/>
        <w:numPr>
          <w:ilvl w:val="0"/>
          <w:numId w:val="1"/>
        </w:numPr>
        <w:jc w:val="both"/>
      </w:pPr>
      <w:r>
        <w:t>La Communauté germanophone devrait logiquement récupérer la gestion de matières de la Province de Liège sur son territoire pour éviter une contradiction dans la hiérarchie des normes (cf. art.140 de la Constitution).</w:t>
      </w:r>
    </w:p>
    <w:p w14:paraId="28770FFD" w14:textId="77777777" w:rsidR="00BD004C" w:rsidRDefault="00BD004C" w:rsidP="00E02AAA">
      <w:pPr>
        <w:pStyle w:val="Paragraphedeliste"/>
        <w:jc w:val="both"/>
      </w:pPr>
    </w:p>
    <w:p w14:paraId="7AAD37F2" w14:textId="77777777" w:rsidR="009E0DA7" w:rsidRDefault="009E0DA7" w:rsidP="00E02AAA">
      <w:pPr>
        <w:jc w:val="both"/>
      </w:pPr>
    </w:p>
    <w:p w14:paraId="6248335A" w14:textId="77777777" w:rsidR="007C5671" w:rsidRPr="00AF6C9A" w:rsidRDefault="003F4E4E" w:rsidP="008235DF">
      <w:pPr>
        <w:pBdr>
          <w:top w:val="single" w:sz="4" w:space="1" w:color="auto"/>
          <w:left w:val="single" w:sz="4" w:space="4" w:color="auto"/>
          <w:bottom w:val="single" w:sz="4" w:space="1" w:color="auto"/>
          <w:right w:val="single" w:sz="4" w:space="4" w:color="auto"/>
        </w:pBdr>
        <w:shd w:val="clear" w:color="auto" w:fill="E7E6E6" w:themeFill="background2"/>
        <w:jc w:val="both"/>
      </w:pPr>
      <w:r w:rsidRPr="00AF6C9A">
        <w:t xml:space="preserve">ORGANISATION DE LA FÉDÉRATION (CI-APRÈS </w:t>
      </w:r>
      <w:r w:rsidR="009C39E4">
        <w:t>E</w:t>
      </w:r>
      <w:r w:rsidRPr="00AF6C9A">
        <w:t>WB)</w:t>
      </w:r>
    </w:p>
    <w:p w14:paraId="06E6E807" w14:textId="77777777" w:rsidR="00AD6EAE" w:rsidRDefault="00AD6EAE" w:rsidP="00E02AAA">
      <w:pPr>
        <w:jc w:val="both"/>
      </w:pPr>
    </w:p>
    <w:p w14:paraId="63601055" w14:textId="77777777" w:rsidR="007C5671" w:rsidRPr="001C4507" w:rsidRDefault="00A0356E" w:rsidP="00E02AAA">
      <w:pPr>
        <w:jc w:val="both"/>
        <w:rPr>
          <w:b/>
        </w:rPr>
      </w:pPr>
      <w:r w:rsidRPr="001C4507">
        <w:rPr>
          <w:b/>
        </w:rPr>
        <w:t>COMPÉTENCES</w:t>
      </w:r>
      <w:r w:rsidR="00AD6EAE" w:rsidRPr="001C4507">
        <w:rPr>
          <w:b/>
        </w:rPr>
        <w:t> :</w:t>
      </w:r>
    </w:p>
    <w:p w14:paraId="775F8B21" w14:textId="77777777" w:rsidR="008D402B" w:rsidRDefault="008D402B" w:rsidP="00E02AAA">
      <w:pPr>
        <w:pStyle w:val="Paragraphedeliste"/>
        <w:numPr>
          <w:ilvl w:val="0"/>
          <w:numId w:val="1"/>
        </w:numPr>
        <w:jc w:val="both"/>
      </w:pPr>
      <w:r>
        <w:t>Sont gérées au niveau de la fédération </w:t>
      </w:r>
      <w:r w:rsidR="001C4507">
        <w:t>WB</w:t>
      </w:r>
      <w:r>
        <w:t>:</w:t>
      </w:r>
    </w:p>
    <w:p w14:paraId="276973AA" w14:textId="77777777" w:rsidR="008D402B" w:rsidRDefault="008D402B" w:rsidP="00E02AAA">
      <w:pPr>
        <w:pStyle w:val="Paragraphedeliste"/>
        <w:numPr>
          <w:ilvl w:val="1"/>
          <w:numId w:val="1"/>
        </w:numPr>
        <w:jc w:val="both"/>
      </w:pPr>
      <w:r>
        <w:t xml:space="preserve"> les matières non territoriales (sauf les matières actuellement « communautaires » gérées par la Communauté germanophone ; et sous réserve des compétences de la Flandre à Bruxelles en matières culturelle et d’enseignement)</w:t>
      </w:r>
    </w:p>
    <w:p w14:paraId="13871235" w14:textId="77777777" w:rsidR="008D402B" w:rsidRDefault="008D402B" w:rsidP="00E02AAA">
      <w:pPr>
        <w:pStyle w:val="Paragraphedeliste"/>
        <w:numPr>
          <w:ilvl w:val="1"/>
          <w:numId w:val="1"/>
        </w:numPr>
        <w:jc w:val="both"/>
      </w:pPr>
      <w:r>
        <w:t>Toute autre matière décidée par le Parlement de l</w:t>
      </w:r>
      <w:r w:rsidR="009C39E4">
        <w:t>’E</w:t>
      </w:r>
      <w:r>
        <w:t>WB  (ex : recherche appliquée ; relations internationales, mobilité) ; il y aura lieu de chercher la plus grande cohérence et efficacité</w:t>
      </w:r>
    </w:p>
    <w:p w14:paraId="3FD23FBD" w14:textId="77777777" w:rsidR="00AD6EAE" w:rsidRDefault="008D402B" w:rsidP="00E02AAA">
      <w:pPr>
        <w:pStyle w:val="Paragraphedeliste"/>
        <w:numPr>
          <w:ilvl w:val="0"/>
          <w:numId w:val="1"/>
        </w:numPr>
        <w:jc w:val="both"/>
      </w:pPr>
      <w:r>
        <w:t xml:space="preserve"> Les matières territoriales sont gérées respectivement pour ce qui les concerne par la Wallonie et Bruxelles, sous réserve des matières régionales dont la Wallonie a actuellement délégué l’exercice à la Communauté germanophone ; </w:t>
      </w:r>
    </w:p>
    <w:p w14:paraId="7FE4103F" w14:textId="77777777" w:rsidR="00A0356E" w:rsidRDefault="00A0356E" w:rsidP="00E02AAA">
      <w:pPr>
        <w:jc w:val="both"/>
      </w:pPr>
    </w:p>
    <w:p w14:paraId="6B5031E0" w14:textId="77777777" w:rsidR="00A0356E" w:rsidRPr="001C4507" w:rsidRDefault="00A0356E" w:rsidP="00E02AAA">
      <w:pPr>
        <w:jc w:val="both"/>
        <w:rPr>
          <w:b/>
        </w:rPr>
      </w:pPr>
      <w:r w:rsidRPr="001C4507">
        <w:rPr>
          <w:b/>
        </w:rPr>
        <w:t>STRUCTURES</w:t>
      </w:r>
    </w:p>
    <w:p w14:paraId="7E965B47" w14:textId="77777777" w:rsidR="00235BC4" w:rsidRDefault="00235BC4" w:rsidP="00E02AAA">
      <w:pPr>
        <w:jc w:val="both"/>
      </w:pPr>
      <w:r>
        <w:t>Parlements</w:t>
      </w:r>
    </w:p>
    <w:p w14:paraId="6938AB33" w14:textId="77777777" w:rsidR="00235BC4" w:rsidRDefault="00235BC4" w:rsidP="00E02AAA">
      <w:pPr>
        <w:pStyle w:val="Paragraphedeliste"/>
        <w:numPr>
          <w:ilvl w:val="0"/>
          <w:numId w:val="1"/>
        </w:numPr>
        <w:jc w:val="both"/>
      </w:pPr>
      <w:r>
        <w:t xml:space="preserve">Les élections se font au niveau régional : Parlement bruxellois, Parlement wallon, Parlement de la Communauté germanophone; </w:t>
      </w:r>
    </w:p>
    <w:p w14:paraId="3E0CBFD5" w14:textId="77777777" w:rsidR="00235BC4" w:rsidRDefault="00235BC4" w:rsidP="00E02AAA">
      <w:pPr>
        <w:pStyle w:val="Paragraphedeliste"/>
        <w:numPr>
          <w:ilvl w:val="0"/>
          <w:numId w:val="1"/>
        </w:numPr>
        <w:jc w:val="both"/>
      </w:pPr>
      <w:r>
        <w:t>Un Parlement commun est composé d’élus (quotas</w:t>
      </w:r>
      <w:r w:rsidR="003B6F52">
        <w:rPr>
          <w:rStyle w:val="Appelnotedebasdep"/>
        </w:rPr>
        <w:footnoteReference w:id="4"/>
      </w:r>
      <w:r>
        <w:t>) des 3 Parlements régionaux, auxquels on ajoute un quota d’élus d’une circonscription unique (pour favoriser un</w:t>
      </w:r>
      <w:r w:rsidR="00E02AAA">
        <w:t xml:space="preserve"> sentiment</w:t>
      </w:r>
      <w:r>
        <w:t xml:space="preserve"> communautaire) ;</w:t>
      </w:r>
    </w:p>
    <w:p w14:paraId="0A283556" w14:textId="77777777" w:rsidR="00235BC4" w:rsidRDefault="00235BC4" w:rsidP="00E02AAA">
      <w:pPr>
        <w:jc w:val="both"/>
      </w:pPr>
      <w:r>
        <w:t xml:space="preserve">Gouvernements </w:t>
      </w:r>
    </w:p>
    <w:p w14:paraId="4392C762" w14:textId="77777777" w:rsidR="00235BC4" w:rsidRDefault="00235BC4" w:rsidP="00E02AAA">
      <w:pPr>
        <w:pStyle w:val="Paragraphedeliste"/>
        <w:numPr>
          <w:ilvl w:val="0"/>
          <w:numId w:val="1"/>
        </w:numPr>
        <w:jc w:val="both"/>
      </w:pPr>
      <w:r>
        <w:t>Parallélisme avec les Parlements </w:t>
      </w:r>
      <w:r w:rsidR="009C39E4">
        <w:t xml:space="preserve"> </w:t>
      </w:r>
      <w:r>
        <w:t>sauf qu’à Bruxelles, le gouvernement compte au minimum un ministre flamand ;</w:t>
      </w:r>
    </w:p>
    <w:p w14:paraId="70F7DBB5" w14:textId="77777777" w:rsidR="003B6F52" w:rsidRDefault="00235BC4" w:rsidP="00E02AAA">
      <w:pPr>
        <w:pStyle w:val="Paragraphedeliste"/>
        <w:numPr>
          <w:ilvl w:val="0"/>
          <w:numId w:val="1"/>
        </w:numPr>
        <w:jc w:val="both"/>
      </w:pPr>
      <w:r>
        <w:t>Le gouvernement de l</w:t>
      </w:r>
      <w:r w:rsidR="009C39E4">
        <w:t>’E</w:t>
      </w:r>
      <w:r>
        <w:t xml:space="preserve">WB: </w:t>
      </w:r>
      <w:r w:rsidR="00C523C5">
        <w:t>comprend des ministres des 3 gouvernements régionaux</w:t>
      </w:r>
      <w:r w:rsidR="003B6F52">
        <w:rPr>
          <w:rStyle w:val="Appelnotedebasdep"/>
        </w:rPr>
        <w:footnoteReference w:id="5"/>
      </w:r>
      <w:r w:rsidR="003B6F52">
        <w:t> ;</w:t>
      </w:r>
    </w:p>
    <w:p w14:paraId="6FB4982D" w14:textId="77777777" w:rsidR="00155269" w:rsidRDefault="00155269" w:rsidP="00E02AAA">
      <w:pPr>
        <w:jc w:val="both"/>
      </w:pPr>
    </w:p>
    <w:p w14:paraId="7E3EE610" w14:textId="77777777" w:rsidR="00D14B76" w:rsidRPr="001C4507" w:rsidRDefault="00D14B76" w:rsidP="00E02AAA">
      <w:pPr>
        <w:jc w:val="both"/>
        <w:rPr>
          <w:b/>
        </w:rPr>
      </w:pPr>
      <w:r w:rsidRPr="001C4507">
        <w:rPr>
          <w:b/>
        </w:rPr>
        <w:t xml:space="preserve">FINANCEMENT </w:t>
      </w:r>
    </w:p>
    <w:p w14:paraId="4E0CED6C" w14:textId="77777777" w:rsidR="00D14B76" w:rsidRDefault="00D14B76" w:rsidP="00E02AAA">
      <w:pPr>
        <w:pStyle w:val="Paragraphedeliste"/>
        <w:numPr>
          <w:ilvl w:val="0"/>
          <w:numId w:val="1"/>
        </w:numPr>
        <w:jc w:val="both"/>
      </w:pPr>
      <w:r>
        <w:t>La plupart des impôts sont régionalisés et prélevés en fonction du lieu d’activité (IPP= lieu de travail</w:t>
      </w:r>
      <w:r w:rsidR="003B6F52">
        <w:t> ; ISOC : siège d’exploitation</w:t>
      </w:r>
      <w:r>
        <w:t>)</w:t>
      </w:r>
    </w:p>
    <w:p w14:paraId="60FD1A94" w14:textId="77777777" w:rsidR="00235BC4" w:rsidRDefault="003B6F52" w:rsidP="00E02AAA">
      <w:pPr>
        <w:pStyle w:val="Paragraphedeliste"/>
        <w:numPr>
          <w:ilvl w:val="0"/>
          <w:numId w:val="1"/>
        </w:numPr>
        <w:jc w:val="both"/>
      </w:pPr>
      <w:r>
        <w:t xml:space="preserve">Unité budgétaire permettant les transferts entre volets </w:t>
      </w:r>
      <w:r w:rsidR="009C39E4">
        <w:t>E</w:t>
      </w:r>
      <w:r>
        <w:t>WB et entités régionales : ce qui permet à la Wallonie de bénéficier de recettes prélevées à Bruxelles;</w:t>
      </w:r>
    </w:p>
    <w:p w14:paraId="68F19181" w14:textId="77777777" w:rsidR="003B6F52" w:rsidRDefault="003B6F52" w:rsidP="00E02AAA">
      <w:pPr>
        <w:pStyle w:val="Paragraphedeliste"/>
        <w:numPr>
          <w:ilvl w:val="0"/>
          <w:numId w:val="1"/>
        </w:numPr>
        <w:jc w:val="both"/>
      </w:pPr>
      <w:r>
        <w:t xml:space="preserve">Pour garantir le principe du lien entre taxation et représentation, les quotas internes peuvent être liés à la capacité contributive de chaque entité régionale.  </w:t>
      </w:r>
    </w:p>
    <w:p w14:paraId="1667F7BA" w14:textId="77777777" w:rsidR="00155269" w:rsidRDefault="00155269" w:rsidP="00E02AAA">
      <w:pPr>
        <w:jc w:val="both"/>
      </w:pPr>
    </w:p>
    <w:p w14:paraId="2D9769B2" w14:textId="77777777" w:rsidR="00155269" w:rsidRPr="00AF6C9A" w:rsidRDefault="00155269" w:rsidP="00AF6C9A">
      <w:pPr>
        <w:pBdr>
          <w:top w:val="single" w:sz="4" w:space="1" w:color="auto"/>
          <w:left w:val="single" w:sz="4" w:space="4" w:color="auto"/>
          <w:bottom w:val="single" w:sz="4" w:space="1" w:color="auto"/>
          <w:right w:val="single" w:sz="4" w:space="4" w:color="auto"/>
        </w:pBdr>
        <w:shd w:val="clear" w:color="auto" w:fill="E7E6E6" w:themeFill="background2"/>
        <w:jc w:val="both"/>
      </w:pPr>
      <w:r w:rsidRPr="00AF6C9A">
        <w:t>STATUT DES MINORITÉS</w:t>
      </w:r>
    </w:p>
    <w:p w14:paraId="24BEA450" w14:textId="77777777" w:rsidR="00155269" w:rsidRDefault="00155269" w:rsidP="00E02AAA">
      <w:pPr>
        <w:jc w:val="both"/>
      </w:pPr>
    </w:p>
    <w:p w14:paraId="40B251F3" w14:textId="77777777" w:rsidR="00155269" w:rsidRDefault="00155269" w:rsidP="00E02AAA">
      <w:pPr>
        <w:pStyle w:val="Paragraphedeliste"/>
        <w:numPr>
          <w:ilvl w:val="0"/>
          <w:numId w:val="1"/>
        </w:numPr>
        <w:jc w:val="both"/>
      </w:pPr>
      <w:r>
        <w:t>Le pacte fédéral prévoit l’adhésion (ratification) de toutes les entités aux Conventions du Conseil de l'Europe (DH et minorités nationales)</w:t>
      </w:r>
    </w:p>
    <w:p w14:paraId="13FEBCA9" w14:textId="77777777" w:rsidR="00155269" w:rsidRDefault="003F4E4E" w:rsidP="00E02AAA">
      <w:pPr>
        <w:pStyle w:val="Paragraphedeliste"/>
        <w:numPr>
          <w:ilvl w:val="0"/>
          <w:numId w:val="1"/>
        </w:numPr>
        <w:jc w:val="both"/>
      </w:pPr>
      <w:r>
        <w:t>L</w:t>
      </w:r>
      <w:r w:rsidR="009C39E4">
        <w:t>’E</w:t>
      </w:r>
      <w:r>
        <w:t>WB organise la protection de ses deux minorités linguistiques : néerlandaise à Bruxelles et frontière linguistique ; germanophone en région de langue allemande ;</w:t>
      </w:r>
    </w:p>
    <w:p w14:paraId="2E9849A8" w14:textId="77777777" w:rsidR="003F4E4E" w:rsidRDefault="003F4E4E" w:rsidP="00E02AAA">
      <w:pPr>
        <w:pStyle w:val="Paragraphedeliste"/>
        <w:numPr>
          <w:ilvl w:val="0"/>
          <w:numId w:val="1"/>
        </w:numPr>
        <w:jc w:val="both"/>
      </w:pPr>
      <w:r>
        <w:t>Statut de la minorité flamande à Bruxelles</w:t>
      </w:r>
      <w:r w:rsidR="0001426B">
        <w:t> :</w:t>
      </w:r>
    </w:p>
    <w:p w14:paraId="234E7698" w14:textId="77777777" w:rsidR="0001426B" w:rsidRDefault="0001426B" w:rsidP="00E02AAA">
      <w:pPr>
        <w:pStyle w:val="Paragraphedeliste"/>
        <w:numPr>
          <w:ilvl w:val="1"/>
          <w:numId w:val="1"/>
        </w:numPr>
        <w:jc w:val="both"/>
      </w:pPr>
      <w:r>
        <w:t>le Parlement bruxellois : 75 élus sur des listes bilingues</w:t>
      </w:r>
    </w:p>
    <w:p w14:paraId="1428606A" w14:textId="77777777" w:rsidR="0001426B" w:rsidRDefault="0001426B" w:rsidP="00E02AAA">
      <w:pPr>
        <w:pStyle w:val="Paragraphedeliste"/>
        <w:numPr>
          <w:ilvl w:val="1"/>
          <w:numId w:val="1"/>
        </w:numPr>
        <w:jc w:val="both"/>
      </w:pPr>
      <w:r>
        <w:t>le gouvernement bruxellois compte au moins un ministre flamand</w:t>
      </w:r>
    </w:p>
    <w:p w14:paraId="6C078903" w14:textId="77777777" w:rsidR="0001426B" w:rsidRDefault="0001426B" w:rsidP="00E02AAA">
      <w:pPr>
        <w:pStyle w:val="Paragraphedeliste"/>
        <w:numPr>
          <w:ilvl w:val="1"/>
          <w:numId w:val="1"/>
        </w:numPr>
        <w:jc w:val="both"/>
      </w:pPr>
      <w:r>
        <w:t>la Flandre garde</w:t>
      </w:r>
      <w:r w:rsidR="00235BC4">
        <w:t xml:space="preserve"> la compétence pour la culture et l’enseignement (cf ci-avant) </w:t>
      </w:r>
    </w:p>
    <w:p w14:paraId="7820355E" w14:textId="77777777" w:rsidR="003F4E4E" w:rsidRDefault="00E02AAA" w:rsidP="00E02AAA">
      <w:pPr>
        <w:pStyle w:val="Paragraphedeliste"/>
        <w:numPr>
          <w:ilvl w:val="0"/>
          <w:numId w:val="1"/>
        </w:numPr>
        <w:jc w:val="both"/>
      </w:pPr>
      <w:r>
        <w:t>L</w:t>
      </w:r>
      <w:r w:rsidR="003F4E4E">
        <w:t>a Communauté germanophone</w:t>
      </w:r>
      <w:r>
        <w:t> : a son propre Parlement et gouvernement, mais fait partie de la Wallonie.</w:t>
      </w:r>
      <w:r w:rsidR="003F4E4E">
        <w:t xml:space="preserve"> </w:t>
      </w:r>
    </w:p>
    <w:p w14:paraId="06AC4BF7" w14:textId="77777777" w:rsidR="00730570" w:rsidRDefault="00730570" w:rsidP="00730570">
      <w:pPr>
        <w:jc w:val="both"/>
      </w:pPr>
    </w:p>
    <w:p w14:paraId="1AEAFD1A" w14:textId="77777777" w:rsidR="00730570" w:rsidRDefault="00730570" w:rsidP="00730570">
      <w:pPr>
        <w:pBdr>
          <w:top w:val="single" w:sz="4" w:space="1" w:color="auto"/>
          <w:left w:val="single" w:sz="4" w:space="4" w:color="auto"/>
          <w:bottom w:val="single" w:sz="4" w:space="1" w:color="auto"/>
          <w:right w:val="single" w:sz="4" w:space="4" w:color="auto"/>
        </w:pBdr>
        <w:shd w:val="clear" w:color="auto" w:fill="E7E6E6" w:themeFill="background2"/>
        <w:jc w:val="both"/>
      </w:pPr>
      <w:r>
        <w:t>POUVOIRS LOCAUX</w:t>
      </w:r>
      <w:r w:rsidR="00C213C2">
        <w:t> :</w:t>
      </w:r>
      <w:r w:rsidR="00D457CB">
        <w:t xml:space="preserve"> </w:t>
      </w:r>
      <w:r w:rsidR="00C213C2">
        <w:t>MAINTIEN ET RÉFORME DES PROVINCES</w:t>
      </w:r>
    </w:p>
    <w:p w14:paraId="43FC9507" w14:textId="77777777" w:rsidR="00671432" w:rsidRDefault="00671432" w:rsidP="00730570">
      <w:pPr>
        <w:jc w:val="both"/>
      </w:pPr>
      <w:r>
        <w:t xml:space="preserve">Entre l’échelon communal et la Région, la nature des problèmes à gérer commande parfois une coordination supracommunales. On a connu les intercommunales et leurs dérives ainsi que leur opacité, les instances s’amoncelant en pyramides que les citoyens ne contrôlent plus. </w:t>
      </w:r>
    </w:p>
    <w:p w14:paraId="4BEE0B6D" w14:textId="77777777" w:rsidR="00671432" w:rsidRDefault="00671432" w:rsidP="00730570">
      <w:pPr>
        <w:jc w:val="both"/>
      </w:pPr>
      <w:r>
        <w:t xml:space="preserve">La 6ème réforme de l'Etat a prévu, en cas de suppression des provinces, un nouvel échelon : la collectivité supracommunale. Telle que la Constitution la prévoit, elle suscite plusieurs réserves, dont celle de dépendre d’une loi spéciale et donc </w:t>
      </w:r>
      <w:r w:rsidR="00C213C2">
        <w:t>du pouvoir fédéral. Par ailleurs, la suppression des provinces entraîne des difficultés budgétaires pour les compétences communautaires qu’elles gèrent, puisque la Communauté française n’a pas de pouvoir fiscal.</w:t>
      </w:r>
    </w:p>
    <w:p w14:paraId="0639454B" w14:textId="77777777" w:rsidR="00C213C2" w:rsidRDefault="00C213C2" w:rsidP="00C213C2">
      <w:pPr>
        <w:jc w:val="both"/>
      </w:pPr>
      <w:r>
        <w:t>Le modèle maintient les provinces comme échelon de la supracommunalité mais suppose une réforme de cette institution pour garantir la transparence et la bonne gouvernance. A la différence des intercommunales, elles présentent le mérite d’avoir une assemblée élue au suffrage universel direct et un exécutif contrôlé par cette dernière.</w:t>
      </w:r>
    </w:p>
    <w:p w14:paraId="5E2408EA" w14:textId="77777777" w:rsidR="00C213C2" w:rsidRDefault="00C213C2" w:rsidP="00C213C2">
      <w:r>
        <w:t>Les p</w:t>
      </w:r>
      <w:r w:rsidRPr="00B42E65">
        <w:t>rovinces</w:t>
      </w:r>
      <w:r>
        <w:t xml:space="preserve"> doivent devenir les coupoles de la coopération entre les communes d’un même territoire pour permettre de concentrer et rationaliser des moyens humains et financiers limités sur des priorités qui répondent à des besoins de proximité qui sont significatifs.</w:t>
      </w:r>
    </w:p>
    <w:p w14:paraId="2776DB77" w14:textId="77777777" w:rsidR="00C213C2" w:rsidRDefault="00C213C2" w:rsidP="00C213C2">
      <w:r>
        <w:t>Les p</w:t>
      </w:r>
      <w:r w:rsidRPr="00B42E65">
        <w:t>rovinces</w:t>
      </w:r>
      <w:r>
        <w:t xml:space="preserve"> doivent avoir pour mission la mise en œuvre et le soutien, par mutualisation des ressources, des politiques et des projets :</w:t>
      </w:r>
    </w:p>
    <w:p w14:paraId="15CE31A2" w14:textId="77777777" w:rsidR="00C213C2" w:rsidRDefault="00C213C2" w:rsidP="00C213C2">
      <w:pPr>
        <w:pStyle w:val="Paragraphedeliste"/>
        <w:numPr>
          <w:ilvl w:val="0"/>
          <w:numId w:val="6"/>
        </w:numPr>
        <w:spacing w:before="120" w:after="0" w:line="240" w:lineRule="auto"/>
        <w:jc w:val="both"/>
        <w:textboxTightWrap w:val="lastLineOnly"/>
      </w:pPr>
      <w:r>
        <w:t>que les communes ne peuvent gérer seules par absence de moyens suffisants, tant en termes de ressources financières qu’humaines.</w:t>
      </w:r>
    </w:p>
    <w:p w14:paraId="2252DFAE" w14:textId="77777777" w:rsidR="00C213C2" w:rsidRDefault="00C213C2" w:rsidP="00C213C2">
      <w:pPr>
        <w:pStyle w:val="Paragraphedeliste"/>
        <w:numPr>
          <w:ilvl w:val="0"/>
          <w:numId w:val="6"/>
        </w:numPr>
        <w:spacing w:before="120" w:after="0" w:line="240" w:lineRule="auto"/>
        <w:jc w:val="both"/>
        <w:textboxTightWrap w:val="lastLineOnly"/>
      </w:pPr>
      <w:r>
        <w:t>qui ne peuvent être transférés aux régions, tant pour des motifs socio-économiques que juridiques.</w:t>
      </w:r>
    </w:p>
    <w:p w14:paraId="605BE928" w14:textId="77777777" w:rsidR="00C213C2" w:rsidRDefault="00C213C2" w:rsidP="00C213C2">
      <w:pPr>
        <w:pStyle w:val="Paragraphedeliste"/>
        <w:ind w:left="1080"/>
      </w:pPr>
    </w:p>
    <w:p w14:paraId="410C804B" w14:textId="77777777" w:rsidR="00C213C2" w:rsidRDefault="00C213C2" w:rsidP="00C213C2">
      <w:r>
        <w:t>À défaut, ces projets ne pourront être menés efficacement ni par les communes, incapables, pour une majorité, d’activer les ressources financières nécessaires, ni par la Région, qui constitue un niveau de pouvoir trop éloigné.</w:t>
      </w:r>
    </w:p>
    <w:p w14:paraId="17A29225" w14:textId="77777777" w:rsidR="00C213C2" w:rsidRDefault="00C213C2" w:rsidP="00C213C2"/>
    <w:p w14:paraId="52CD4133" w14:textId="77777777" w:rsidR="00C213C2" w:rsidRDefault="00C213C2" w:rsidP="00730570">
      <w:pPr>
        <w:jc w:val="both"/>
      </w:pPr>
    </w:p>
    <w:p w14:paraId="274B1E5E" w14:textId="77777777" w:rsidR="00730570" w:rsidRDefault="00730570" w:rsidP="00730570">
      <w:pPr>
        <w:jc w:val="both"/>
      </w:pPr>
    </w:p>
    <w:sectPr w:rsidR="00730570" w:rsidSect="00AC51A5">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9D107" w14:textId="77777777" w:rsidR="0019680F" w:rsidRDefault="0019680F" w:rsidP="003B6F52">
      <w:pPr>
        <w:spacing w:after="0" w:line="240" w:lineRule="auto"/>
      </w:pPr>
      <w:r>
        <w:separator/>
      </w:r>
    </w:p>
  </w:endnote>
  <w:endnote w:type="continuationSeparator" w:id="0">
    <w:p w14:paraId="48839D4C" w14:textId="77777777" w:rsidR="0019680F" w:rsidRDefault="0019680F" w:rsidP="003B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490E6" w14:textId="77777777" w:rsidR="0019680F" w:rsidRDefault="0019680F" w:rsidP="003B6F52">
      <w:pPr>
        <w:spacing w:after="0" w:line="240" w:lineRule="auto"/>
      </w:pPr>
      <w:r>
        <w:separator/>
      </w:r>
    </w:p>
  </w:footnote>
  <w:footnote w:type="continuationSeparator" w:id="0">
    <w:p w14:paraId="5E9D41A8" w14:textId="77777777" w:rsidR="0019680F" w:rsidRDefault="0019680F" w:rsidP="003B6F52">
      <w:pPr>
        <w:spacing w:after="0" w:line="240" w:lineRule="auto"/>
      </w:pPr>
      <w:r>
        <w:continuationSeparator/>
      </w:r>
    </w:p>
  </w:footnote>
  <w:footnote w:id="1">
    <w:p w14:paraId="50BF9A92" w14:textId="77777777" w:rsidR="00742291" w:rsidRDefault="00742291">
      <w:pPr>
        <w:pStyle w:val="Notedebasdepage"/>
      </w:pPr>
      <w:r>
        <w:rPr>
          <w:rStyle w:val="Appelnotedebasdep"/>
        </w:rPr>
        <w:footnoteRef/>
      </w:r>
      <w:r>
        <w:t xml:space="preserve"> On notera que l’énumération des compétences fédérales figurait déjà bel et bien dans le Pacte d’Egmont.</w:t>
      </w:r>
    </w:p>
  </w:footnote>
  <w:footnote w:id="2">
    <w:p w14:paraId="6199A921" w14:textId="77777777" w:rsidR="00F42E8E" w:rsidRDefault="00F42E8E">
      <w:pPr>
        <w:pStyle w:val="Notedebasdepage"/>
      </w:pPr>
      <w:r>
        <w:rPr>
          <w:rStyle w:val="Appelnotedebasdep"/>
        </w:rPr>
        <w:footnoteRef/>
      </w:r>
      <w:r>
        <w:t xml:space="preserve"> Dont le financement doit être profondément revu : l’idée est de remplacer l’essentiel des cotisations des travailleurs par une CSG progressive sur l’ensemble des revenus (en maintenant </w:t>
      </w:r>
      <w:r w:rsidR="002C53C9">
        <w:t>un</w:t>
      </w:r>
      <w:r w:rsidR="00742291">
        <w:t>e</w:t>
      </w:r>
      <w:r>
        <w:t xml:space="preserve"> cotisation patronale </w:t>
      </w:r>
      <w:r w:rsidR="002C53C9">
        <w:t xml:space="preserve">à 20% </w:t>
      </w:r>
      <w:r>
        <w:t>et les revenus d’une fiscalité dissuasive de pratiques nuisibles à la santé).</w:t>
      </w:r>
    </w:p>
  </w:footnote>
  <w:footnote w:id="3">
    <w:p w14:paraId="5EFA4BE0" w14:textId="77777777" w:rsidR="00C03506" w:rsidRDefault="00C03506">
      <w:pPr>
        <w:pStyle w:val="Notedebasdepage"/>
      </w:pPr>
      <w:r>
        <w:rPr>
          <w:rStyle w:val="Appelnotedebasdep"/>
        </w:rPr>
        <w:footnoteRef/>
      </w:r>
      <w:r>
        <w:t xml:space="preserve"> Ce qui signifie la primauté de ces règles sur les droits régionaux. </w:t>
      </w:r>
    </w:p>
  </w:footnote>
  <w:footnote w:id="4">
    <w:p w14:paraId="433DB800" w14:textId="77777777" w:rsidR="003B6F52" w:rsidRDefault="003B6F52">
      <w:pPr>
        <w:pStyle w:val="Notedebasdepage"/>
      </w:pPr>
      <w:r>
        <w:rPr>
          <w:rStyle w:val="Appelnotedebasdep"/>
        </w:rPr>
        <w:footnoteRef/>
      </w:r>
      <w:r>
        <w:t xml:space="preserve"> Les quotas peuvent être fixés sur base du critère population ; on peut y adjoindre un 2d critère, à savoir la part des recettes budgétaires de chaque Région dans le budget commun</w:t>
      </w:r>
    </w:p>
  </w:footnote>
  <w:footnote w:id="5">
    <w:p w14:paraId="31C8B9DC" w14:textId="77777777" w:rsidR="003B6F52" w:rsidRDefault="003B6F52">
      <w:pPr>
        <w:pStyle w:val="Notedebasdepage"/>
      </w:pPr>
      <w:r>
        <w:rPr>
          <w:rStyle w:val="Appelnotedebasdep"/>
        </w:rPr>
        <w:footnoteRef/>
      </w:r>
      <w:r>
        <w:t xml:space="preserve"> Sur les quotas, voir note précédente.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801571"/>
      <w:docPartObj>
        <w:docPartGallery w:val="Page Numbers (Top of Page)"/>
        <w:docPartUnique/>
      </w:docPartObj>
    </w:sdtPr>
    <w:sdtEndPr/>
    <w:sdtContent>
      <w:p w14:paraId="31EC7498" w14:textId="77777777" w:rsidR="00AC51A5" w:rsidRDefault="00AC51A5">
        <w:pPr>
          <w:pStyle w:val="En-tte"/>
          <w:jc w:val="right"/>
        </w:pPr>
        <w:r>
          <w:fldChar w:fldCharType="begin"/>
        </w:r>
        <w:r>
          <w:instrText>PAGE   \* MERGEFORMAT</w:instrText>
        </w:r>
        <w:r>
          <w:fldChar w:fldCharType="separate"/>
        </w:r>
        <w:r w:rsidR="00D810F3" w:rsidRPr="00D810F3">
          <w:rPr>
            <w:noProof/>
            <w:lang w:val="fr-FR"/>
          </w:rPr>
          <w:t>6</w:t>
        </w:r>
        <w:r>
          <w:fldChar w:fldCharType="end"/>
        </w:r>
      </w:p>
    </w:sdtContent>
  </w:sdt>
  <w:p w14:paraId="5741A6A3" w14:textId="77777777" w:rsidR="00AC51A5" w:rsidRDefault="00AC51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21ED2"/>
    <w:multiLevelType w:val="multilevel"/>
    <w:tmpl w:val="FC68B60A"/>
    <w:lvl w:ilvl="0">
      <w:numFmt w:val="bullet"/>
      <w:lvlText w:val="-"/>
      <w:lvlJc w:val="left"/>
      <w:pPr>
        <w:ind w:left="720" w:firstLine="360"/>
      </w:pPr>
      <w:rPr>
        <w:rFonts w:ascii="Arial" w:eastAsia="Times New Roman" w:hAnsi="Arial" w:cs="Aria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50966A1"/>
    <w:multiLevelType w:val="hybridMultilevel"/>
    <w:tmpl w:val="7E5C074E"/>
    <w:lvl w:ilvl="0" w:tplc="E4D0A2D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90D17B2"/>
    <w:multiLevelType w:val="hybridMultilevel"/>
    <w:tmpl w:val="BB9CFAC0"/>
    <w:lvl w:ilvl="0" w:tplc="621C3E5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5E553493"/>
    <w:multiLevelType w:val="hybridMultilevel"/>
    <w:tmpl w:val="8AF8F46C"/>
    <w:lvl w:ilvl="0" w:tplc="60C627C4">
      <w:start w:val="1"/>
      <w:numFmt w:val="bullet"/>
      <w:lvlText w:val=""/>
      <w:lvlJc w:val="left"/>
      <w:pPr>
        <w:ind w:left="1080" w:hanging="360"/>
      </w:pPr>
      <w:rPr>
        <w:rFonts w:ascii="Symbol" w:hAnsi="Symbol" w:hint="default"/>
        <w:color w:val="BB096A"/>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60491E60"/>
    <w:multiLevelType w:val="hybridMultilevel"/>
    <w:tmpl w:val="7B12EAD4"/>
    <w:lvl w:ilvl="0" w:tplc="6ADA9E0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85C4034"/>
    <w:multiLevelType w:val="hybridMultilevel"/>
    <w:tmpl w:val="BBBE1F1A"/>
    <w:lvl w:ilvl="0" w:tplc="695084A8">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A7"/>
    <w:rsid w:val="00013DEA"/>
    <w:rsid w:val="0001426B"/>
    <w:rsid w:val="000655B2"/>
    <w:rsid w:val="000D0F6F"/>
    <w:rsid w:val="000E12A5"/>
    <w:rsid w:val="00155269"/>
    <w:rsid w:val="00183D9C"/>
    <w:rsid w:val="0019680F"/>
    <w:rsid w:val="001C4507"/>
    <w:rsid w:val="001F49BD"/>
    <w:rsid w:val="00216BDA"/>
    <w:rsid w:val="00235BC4"/>
    <w:rsid w:val="0028371A"/>
    <w:rsid w:val="002B765E"/>
    <w:rsid w:val="002B7ECD"/>
    <w:rsid w:val="002C53C9"/>
    <w:rsid w:val="002C6C05"/>
    <w:rsid w:val="002F797E"/>
    <w:rsid w:val="00303436"/>
    <w:rsid w:val="00323EE1"/>
    <w:rsid w:val="003A6B2E"/>
    <w:rsid w:val="003B6F52"/>
    <w:rsid w:val="003E19DA"/>
    <w:rsid w:val="003F4E4E"/>
    <w:rsid w:val="00490F33"/>
    <w:rsid w:val="00491603"/>
    <w:rsid w:val="004C4900"/>
    <w:rsid w:val="00525797"/>
    <w:rsid w:val="0059655A"/>
    <w:rsid w:val="005A67E0"/>
    <w:rsid w:val="005B42F9"/>
    <w:rsid w:val="005D4D54"/>
    <w:rsid w:val="005F29A5"/>
    <w:rsid w:val="005F740A"/>
    <w:rsid w:val="00614BF3"/>
    <w:rsid w:val="00620267"/>
    <w:rsid w:val="00671432"/>
    <w:rsid w:val="00684524"/>
    <w:rsid w:val="006B3E73"/>
    <w:rsid w:val="006E2FA9"/>
    <w:rsid w:val="00716AC8"/>
    <w:rsid w:val="00730570"/>
    <w:rsid w:val="00742291"/>
    <w:rsid w:val="007C5671"/>
    <w:rsid w:val="008235DF"/>
    <w:rsid w:val="008308D9"/>
    <w:rsid w:val="0083151E"/>
    <w:rsid w:val="008624E1"/>
    <w:rsid w:val="008A32C7"/>
    <w:rsid w:val="008B1D61"/>
    <w:rsid w:val="008D402B"/>
    <w:rsid w:val="00926F05"/>
    <w:rsid w:val="009643CC"/>
    <w:rsid w:val="00976A7D"/>
    <w:rsid w:val="009A14AD"/>
    <w:rsid w:val="009A7730"/>
    <w:rsid w:val="009C39E4"/>
    <w:rsid w:val="009E0DA7"/>
    <w:rsid w:val="00A0356E"/>
    <w:rsid w:val="00A05DA9"/>
    <w:rsid w:val="00A6500E"/>
    <w:rsid w:val="00A75D66"/>
    <w:rsid w:val="00AC51A5"/>
    <w:rsid w:val="00AD6EAE"/>
    <w:rsid w:val="00AE007A"/>
    <w:rsid w:val="00AF0939"/>
    <w:rsid w:val="00AF6C9A"/>
    <w:rsid w:val="00B11D7E"/>
    <w:rsid w:val="00B94CD5"/>
    <w:rsid w:val="00BD004C"/>
    <w:rsid w:val="00C03506"/>
    <w:rsid w:val="00C213C2"/>
    <w:rsid w:val="00C2603D"/>
    <w:rsid w:val="00C523C5"/>
    <w:rsid w:val="00CF3D2D"/>
    <w:rsid w:val="00D0267A"/>
    <w:rsid w:val="00D14B76"/>
    <w:rsid w:val="00D457CB"/>
    <w:rsid w:val="00D67F63"/>
    <w:rsid w:val="00D810F3"/>
    <w:rsid w:val="00E02AAA"/>
    <w:rsid w:val="00E156FB"/>
    <w:rsid w:val="00E17ED1"/>
    <w:rsid w:val="00E60B98"/>
    <w:rsid w:val="00E72893"/>
    <w:rsid w:val="00EA4AB4"/>
    <w:rsid w:val="00EE7327"/>
    <w:rsid w:val="00F10DD2"/>
    <w:rsid w:val="00F42E8E"/>
    <w:rsid w:val="00F47C02"/>
    <w:rsid w:val="00F52E25"/>
    <w:rsid w:val="00FF62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327F"/>
  <w15:chartTrackingRefBased/>
  <w15:docId w15:val="{66EEE5D8-83C3-47AF-8C81-D772E946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797"/>
    <w:pPr>
      <w:ind w:left="720"/>
      <w:contextualSpacing/>
    </w:pPr>
  </w:style>
  <w:style w:type="paragraph" w:styleId="Notedebasdepage">
    <w:name w:val="footnote text"/>
    <w:basedOn w:val="Normal"/>
    <w:link w:val="NotedebasdepageCar"/>
    <w:uiPriority w:val="99"/>
    <w:unhideWhenUsed/>
    <w:rsid w:val="003B6F52"/>
    <w:pPr>
      <w:spacing w:after="0" w:line="240" w:lineRule="auto"/>
    </w:pPr>
    <w:rPr>
      <w:sz w:val="20"/>
      <w:szCs w:val="20"/>
    </w:rPr>
  </w:style>
  <w:style w:type="character" w:customStyle="1" w:styleId="NotedebasdepageCar">
    <w:name w:val="Note de bas de page Car"/>
    <w:basedOn w:val="Policepardfaut"/>
    <w:link w:val="Notedebasdepage"/>
    <w:uiPriority w:val="99"/>
    <w:rsid w:val="003B6F52"/>
    <w:rPr>
      <w:sz w:val="20"/>
      <w:szCs w:val="20"/>
    </w:rPr>
  </w:style>
  <w:style w:type="character" w:styleId="Appelnotedebasdep">
    <w:name w:val="footnote reference"/>
    <w:basedOn w:val="Policepardfaut"/>
    <w:uiPriority w:val="99"/>
    <w:unhideWhenUsed/>
    <w:qFormat/>
    <w:rsid w:val="003B6F52"/>
    <w:rPr>
      <w:vertAlign w:val="superscript"/>
    </w:rPr>
  </w:style>
  <w:style w:type="paragraph" w:styleId="En-tte">
    <w:name w:val="header"/>
    <w:basedOn w:val="Normal"/>
    <w:link w:val="En-tteCar"/>
    <w:uiPriority w:val="99"/>
    <w:unhideWhenUsed/>
    <w:rsid w:val="00AC51A5"/>
    <w:pPr>
      <w:tabs>
        <w:tab w:val="center" w:pos="4536"/>
        <w:tab w:val="right" w:pos="9072"/>
      </w:tabs>
      <w:spacing w:after="0" w:line="240" w:lineRule="auto"/>
    </w:pPr>
  </w:style>
  <w:style w:type="character" w:customStyle="1" w:styleId="En-tteCar">
    <w:name w:val="En-tête Car"/>
    <w:basedOn w:val="Policepardfaut"/>
    <w:link w:val="En-tte"/>
    <w:uiPriority w:val="99"/>
    <w:rsid w:val="00AC51A5"/>
  </w:style>
  <w:style w:type="paragraph" w:styleId="Pieddepage">
    <w:name w:val="footer"/>
    <w:basedOn w:val="Normal"/>
    <w:link w:val="PieddepageCar"/>
    <w:uiPriority w:val="99"/>
    <w:unhideWhenUsed/>
    <w:rsid w:val="00AC51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1817</Words>
  <Characters>9999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Shift Lagasse</dc:creator>
  <cp:keywords/>
  <dc:description/>
  <cp:lastModifiedBy>Franz ANDRE</cp:lastModifiedBy>
  <cp:revision>2</cp:revision>
  <dcterms:created xsi:type="dcterms:W3CDTF">2026-06-25T10:31:00Z</dcterms:created>
  <dcterms:modified xsi:type="dcterms:W3CDTF">2026-06-25T10:31:00Z</dcterms:modified>
</cp:coreProperties>
</file>